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DFB" w:rsidRPr="00F56DFB" w:rsidRDefault="00F56DFB" w:rsidP="00F56DFB">
      <w:pPr>
        <w:pStyle w:val="NoSpacing"/>
        <w:jc w:val="center"/>
        <w:rPr>
          <w:rFonts w:cstheme="minorHAnsi"/>
          <w:b/>
          <w:sz w:val="36"/>
          <w:szCs w:val="36"/>
          <w:u w:val="single"/>
          <w:lang/>
        </w:rPr>
      </w:pPr>
    </w:p>
    <w:p w:rsidR="00F56DFB" w:rsidRDefault="00F56DFB" w:rsidP="00F56DFB">
      <w:pPr>
        <w:pStyle w:val="NoSpacing"/>
        <w:jc w:val="center"/>
        <w:rPr>
          <w:rFonts w:cstheme="minorHAnsi"/>
          <w:b/>
          <w:sz w:val="36"/>
          <w:szCs w:val="36"/>
          <w:u w:val="single"/>
          <w:lang/>
        </w:rPr>
      </w:pPr>
      <w:r w:rsidRPr="00F56DFB">
        <w:rPr>
          <w:rFonts w:cstheme="minorHAnsi"/>
          <w:b/>
          <w:sz w:val="36"/>
          <w:szCs w:val="36"/>
          <w:u w:val="single"/>
          <w:lang/>
        </w:rPr>
        <w:t>Supports for Reading Block:</w:t>
      </w:r>
    </w:p>
    <w:p w:rsidR="00F56DFB" w:rsidRDefault="00F56DFB" w:rsidP="00F56DFB">
      <w:pPr>
        <w:pStyle w:val="NoSpacing"/>
        <w:rPr>
          <w:rFonts w:cstheme="minorHAnsi"/>
          <w:b/>
          <w:sz w:val="28"/>
          <w:szCs w:val="28"/>
          <w:u w:val="single"/>
          <w:lang/>
        </w:rPr>
      </w:pPr>
    </w:p>
    <w:p w:rsidR="00F56DFB" w:rsidRPr="00F56DFB" w:rsidRDefault="00F56DFB" w:rsidP="00F56DFB">
      <w:pPr>
        <w:pStyle w:val="NoSpacing"/>
        <w:rPr>
          <w:rFonts w:cstheme="minorHAnsi"/>
          <w:b/>
          <w:sz w:val="28"/>
          <w:szCs w:val="28"/>
          <w:u w:val="single"/>
          <w:lang/>
        </w:rPr>
      </w:pPr>
      <w:r>
        <w:rPr>
          <w:rFonts w:cstheme="minorHAnsi"/>
          <w:b/>
          <w:sz w:val="28"/>
          <w:szCs w:val="28"/>
          <w:u w:val="single"/>
          <w:lang/>
        </w:rPr>
        <w:t>Making Meaning Program:</w:t>
      </w:r>
    </w:p>
    <w:p w:rsidR="00B975E7" w:rsidRPr="00B975E7" w:rsidRDefault="00B975E7" w:rsidP="00B975E7">
      <w:pPr>
        <w:pStyle w:val="NoSpacing"/>
        <w:rPr>
          <w:rFonts w:cstheme="minorHAnsi"/>
          <w:sz w:val="24"/>
          <w:szCs w:val="24"/>
          <w:lang/>
        </w:rPr>
      </w:pPr>
      <w:r w:rsidRPr="00B975E7">
        <w:rPr>
          <w:rFonts w:cstheme="minorHAnsi"/>
          <w:sz w:val="24"/>
          <w:szCs w:val="24"/>
          <w:lang/>
        </w:rPr>
        <w:t>The Making Meaning program is a classroom-tested K–8 reading comprehension curriculum that combines the latest comprehension research with support for students’ social and ethical development.</w:t>
      </w:r>
    </w:p>
    <w:p w:rsidR="00B975E7" w:rsidRDefault="00B975E7" w:rsidP="00B975E7">
      <w:pPr>
        <w:pStyle w:val="NoSpacing"/>
        <w:rPr>
          <w:rFonts w:cstheme="minorHAnsi"/>
          <w:sz w:val="24"/>
          <w:szCs w:val="24"/>
          <w:lang/>
        </w:rPr>
      </w:pPr>
    </w:p>
    <w:p w:rsidR="00B975E7" w:rsidRPr="00B975E7" w:rsidRDefault="00B975E7" w:rsidP="00B975E7">
      <w:pPr>
        <w:pStyle w:val="NoSpacing"/>
        <w:rPr>
          <w:rFonts w:cstheme="minorHAnsi"/>
          <w:sz w:val="24"/>
          <w:szCs w:val="24"/>
          <w:lang/>
        </w:rPr>
      </w:pPr>
      <w:r w:rsidRPr="00B975E7">
        <w:rPr>
          <w:rFonts w:cstheme="minorHAnsi"/>
          <w:sz w:val="24"/>
          <w:szCs w:val="24"/>
          <w:lang/>
        </w:rPr>
        <w:t xml:space="preserve">The program uses nonfiction and fiction read-aloud books to teach students nine different </w:t>
      </w:r>
      <w:hyperlink r:id="rId5" w:tooltip="comprehension strategies" w:history="1">
        <w:r w:rsidRPr="00B975E7">
          <w:rPr>
            <w:rStyle w:val="Hyperlink"/>
            <w:rFonts w:cstheme="minorHAnsi"/>
            <w:sz w:val="24"/>
            <w:szCs w:val="24"/>
            <w:lang/>
          </w:rPr>
          <w:t>comprehension strategies</w:t>
        </w:r>
      </w:hyperlink>
      <w:r w:rsidRPr="00B975E7">
        <w:rPr>
          <w:rFonts w:cstheme="minorHAnsi"/>
          <w:sz w:val="24"/>
          <w:szCs w:val="24"/>
          <w:lang/>
        </w:rPr>
        <w:t xml:space="preserve"> while also developing their social values to create a supportive community of </w:t>
      </w:r>
    </w:p>
    <w:p w:rsidR="00B975E7" w:rsidRPr="00B975E7" w:rsidRDefault="00B975E7" w:rsidP="00B975E7">
      <w:pPr>
        <w:pStyle w:val="NoSpacing"/>
        <w:rPr>
          <w:rFonts w:eastAsia="Times New Roman" w:cstheme="minorHAnsi"/>
          <w:sz w:val="24"/>
          <w:szCs w:val="24"/>
          <w:lang/>
        </w:rPr>
      </w:pPr>
      <w:r w:rsidRPr="00B975E7">
        <w:rPr>
          <w:rFonts w:eastAsia="Times New Roman" w:cstheme="minorHAnsi"/>
          <w:sz w:val="24"/>
          <w:szCs w:val="24"/>
          <w:lang/>
        </w:rPr>
        <w:t>The Making Meaning program explicitly teaches comprehension strategies—introducing them in the grades where they are developmentally appropriate.</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Retelling</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use retelling to identify and remember important ideas or sequences of events that they need to know or recall.</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in Grades K–2 retell stories using setting, character, and plot to organize their thinking.</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Using schema/Making connections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construct meaning by connecting their prior knowledge to information in the text.</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activate relevant prior knowledge before, during, and after reading.</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Visualizing</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form visual and other sensory images during reading to better understand, remember, and enjoy texts.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w:t>
      </w:r>
      <w:r>
        <w:rPr>
          <w:rFonts w:eastAsia="Times New Roman" w:cstheme="minorHAnsi"/>
          <w:sz w:val="24"/>
          <w:szCs w:val="24"/>
          <w:lang/>
        </w:rPr>
        <w:t xml:space="preserve">tudents visualize </w:t>
      </w:r>
      <w:proofErr w:type="gramStart"/>
      <w:r>
        <w:rPr>
          <w:rFonts w:eastAsia="Times New Roman" w:cstheme="minorHAnsi"/>
          <w:sz w:val="24"/>
          <w:szCs w:val="24"/>
          <w:lang/>
        </w:rPr>
        <w:t xml:space="preserve">to make </w:t>
      </w:r>
      <w:proofErr w:type="spellStart"/>
      <w:r>
        <w:rPr>
          <w:rFonts w:eastAsia="Times New Roman" w:cstheme="minorHAnsi"/>
          <w:sz w:val="24"/>
          <w:szCs w:val="24"/>
          <w:lang/>
        </w:rPr>
        <w:t>sense</w:t>
      </w:r>
      <w:r w:rsidRPr="00B975E7">
        <w:rPr>
          <w:rFonts w:eastAsia="Times New Roman" w:cstheme="minorHAnsi"/>
          <w:sz w:val="24"/>
          <w:szCs w:val="24"/>
          <w:lang/>
        </w:rPr>
        <w:t>of</w:t>
      </w:r>
      <w:proofErr w:type="spellEnd"/>
      <w:r w:rsidRPr="00B975E7">
        <w:rPr>
          <w:rFonts w:eastAsia="Times New Roman" w:cstheme="minorHAnsi"/>
          <w:sz w:val="24"/>
          <w:szCs w:val="24"/>
          <w:lang/>
        </w:rPr>
        <w:t xml:space="preserve"> figurative language and deepen</w:t>
      </w:r>
      <w:proofErr w:type="gramEnd"/>
      <w:r w:rsidRPr="00B975E7">
        <w:rPr>
          <w:rFonts w:eastAsia="Times New Roman" w:cstheme="minorHAnsi"/>
          <w:sz w:val="24"/>
          <w:szCs w:val="24"/>
          <w:lang/>
        </w:rPr>
        <w:t xml:space="preserve"> their understanding of poems and stories.</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Wondering/Questioning</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ask questions about a text to focus their reading, clarify meaning, and delve deeper into the text.</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lastRenderedPageBreak/>
        <w:t>Students generate questions before, during, and after reading to make sense of text, and they analyze their questions to deepen their understanding of the reading.</w:t>
      </w:r>
    </w:p>
    <w:p w:rsidR="00B975E7" w:rsidRDefault="00B975E7" w:rsidP="00B975E7">
      <w:pPr>
        <w:pStyle w:val="NoSpacing"/>
        <w:rPr>
          <w:rFonts w:eastAsia="Times New Roman" w:cstheme="minorHAnsi"/>
          <w:b/>
          <w:bCs/>
          <w:sz w:val="24"/>
          <w:szCs w:val="24"/>
          <w:lang/>
        </w:rPr>
      </w:pP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Making inferences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use prior knowledge and information in a text to create meanings not explicitly stated, moving from the literal to a deeper understanding of texts.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make inferences to think more deeply about both narrative and expository texts.</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Determining important ideas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Determining the important ideas in texts helps readers identify information that is essential to know and remember.</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identify information that is essential to know and remember.</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Understanding text structure</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use their knowledge of narrative and expository text structure to improve their comprehension.</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use story elements (e.g., setting, characters, plot) to help them understand stories, and identify and use features (e.g., headings, subheadings) and relationships (cause and effect, compare and contrast) to help them comprehend expository texts.</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Summarizing</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Good readers identify and bring together the essential ideas of a text as a way of understanding what they have read and communicating it to others.</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identify important ideas in a text and use them to develop oral and written summaries.</w:t>
      </w:r>
    </w:p>
    <w:p w:rsidR="00B975E7" w:rsidRDefault="00B975E7" w:rsidP="00B975E7">
      <w:pPr>
        <w:pStyle w:val="NoSpacing"/>
        <w:rPr>
          <w:rFonts w:eastAsia="Times New Roman" w:cstheme="minorHAnsi"/>
          <w:b/>
          <w:bCs/>
          <w:sz w:val="24"/>
          <w:szCs w:val="24"/>
          <w:lang/>
        </w:rPr>
      </w:pPr>
    </w:p>
    <w:p w:rsidR="00B975E7" w:rsidRPr="00B975E7" w:rsidRDefault="00B975E7" w:rsidP="00B975E7">
      <w:pPr>
        <w:pStyle w:val="NoSpacing"/>
        <w:rPr>
          <w:rFonts w:eastAsia="Times New Roman" w:cstheme="minorHAnsi"/>
          <w:b/>
          <w:bCs/>
          <w:sz w:val="24"/>
          <w:szCs w:val="24"/>
          <w:lang/>
        </w:rPr>
      </w:pPr>
      <w:r w:rsidRPr="00B975E7">
        <w:rPr>
          <w:rFonts w:eastAsia="Times New Roman" w:cstheme="minorHAnsi"/>
          <w:b/>
          <w:bCs/>
          <w:sz w:val="24"/>
          <w:szCs w:val="24"/>
          <w:lang/>
        </w:rPr>
        <w:t>Synthesizing</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What it is</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Synthesizing is a complex process that requires readers to visualize, use schema, question, infer, and summarize to develop new ideas and understandings based on information in a text.</w:t>
      </w:r>
    </w:p>
    <w:p w:rsidR="00B975E7" w:rsidRPr="00B975E7" w:rsidRDefault="00B975E7" w:rsidP="00B975E7">
      <w:pPr>
        <w:pStyle w:val="NoSpacing"/>
        <w:numPr>
          <w:ilvl w:val="0"/>
          <w:numId w:val="2"/>
        </w:numPr>
        <w:rPr>
          <w:rFonts w:eastAsia="Times New Roman" w:cstheme="minorHAnsi"/>
          <w:b/>
          <w:bCs/>
          <w:sz w:val="24"/>
          <w:szCs w:val="24"/>
          <w:lang/>
        </w:rPr>
      </w:pPr>
      <w:r w:rsidRPr="00B975E7">
        <w:rPr>
          <w:rFonts w:eastAsia="Times New Roman" w:cstheme="minorHAnsi"/>
          <w:b/>
          <w:bCs/>
          <w:sz w:val="24"/>
          <w:szCs w:val="24"/>
          <w:lang/>
        </w:rPr>
        <w:t>How it’s used in the program</w:t>
      </w:r>
    </w:p>
    <w:p w:rsidR="00B975E7" w:rsidRPr="00B975E7" w:rsidRDefault="00B975E7" w:rsidP="00B975E7">
      <w:pPr>
        <w:pStyle w:val="NoSpacing"/>
        <w:ind w:left="720"/>
        <w:rPr>
          <w:rFonts w:eastAsia="Times New Roman" w:cstheme="minorHAnsi"/>
          <w:sz w:val="24"/>
          <w:szCs w:val="24"/>
          <w:lang/>
        </w:rPr>
      </w:pPr>
      <w:r w:rsidRPr="00B975E7">
        <w:rPr>
          <w:rFonts w:eastAsia="Times New Roman" w:cstheme="minorHAnsi"/>
          <w:sz w:val="24"/>
          <w:szCs w:val="24"/>
          <w:lang/>
        </w:rPr>
        <w:t>Students in grades 4–8 synthesize to form opinions and make judgments about texts.</w:t>
      </w:r>
    </w:p>
    <w:p w:rsidR="00752281" w:rsidRPr="00B975E7" w:rsidRDefault="00752281" w:rsidP="00B975E7">
      <w:pPr>
        <w:pStyle w:val="NoSpacing"/>
        <w:rPr>
          <w:rFonts w:cstheme="minorHAnsi"/>
          <w:sz w:val="24"/>
          <w:szCs w:val="24"/>
          <w:lang/>
        </w:rPr>
      </w:pPr>
    </w:p>
    <w:p w:rsidR="00B975E7" w:rsidRPr="00F56DFB" w:rsidRDefault="00F56DFB" w:rsidP="00B975E7">
      <w:pPr>
        <w:pStyle w:val="NoSpacing"/>
        <w:rPr>
          <w:rFonts w:cstheme="minorHAnsi"/>
          <w:b/>
          <w:bCs/>
          <w:sz w:val="28"/>
          <w:szCs w:val="28"/>
          <w:u w:val="single"/>
          <w:lang/>
        </w:rPr>
      </w:pPr>
      <w:r w:rsidRPr="00F56DFB">
        <w:rPr>
          <w:rFonts w:cstheme="minorHAnsi"/>
          <w:b/>
          <w:bCs/>
          <w:sz w:val="28"/>
          <w:szCs w:val="28"/>
          <w:u w:val="single"/>
          <w:lang/>
        </w:rPr>
        <w:t>Now I Get It! Program:</w:t>
      </w:r>
    </w:p>
    <w:p w:rsidR="00B975E7" w:rsidRDefault="00B975E7" w:rsidP="00B975E7">
      <w:pPr>
        <w:pStyle w:val="NoSpacing"/>
        <w:rPr>
          <w:rFonts w:cstheme="minorHAnsi"/>
          <w:b/>
          <w:bCs/>
          <w:color w:val="3333FF"/>
          <w:sz w:val="24"/>
          <w:szCs w:val="24"/>
          <w:lang/>
        </w:rPr>
      </w:pPr>
    </w:p>
    <w:p w:rsidR="00B975E7" w:rsidRPr="00B975E7" w:rsidRDefault="00B975E7" w:rsidP="00B975E7">
      <w:pPr>
        <w:pStyle w:val="NoSpacing"/>
        <w:rPr>
          <w:rFonts w:cstheme="minorHAnsi"/>
          <w:color w:val="330033"/>
          <w:sz w:val="24"/>
          <w:szCs w:val="24"/>
        </w:rPr>
      </w:pPr>
      <w:r w:rsidRPr="00B975E7">
        <w:rPr>
          <w:rFonts w:cstheme="minorHAnsi"/>
          <w:b/>
          <w:bCs/>
          <w:sz w:val="24"/>
          <w:szCs w:val="24"/>
        </w:rPr>
        <w:t xml:space="preserve">Now I Get It! </w:t>
      </w:r>
      <w:r w:rsidRPr="00B975E7">
        <w:rPr>
          <w:rFonts w:cstheme="minorHAnsi"/>
          <w:b/>
          <w:bCs/>
          <w:sz w:val="24"/>
          <w:szCs w:val="24"/>
        </w:rPr>
        <w:br/>
        <w:t>K-5 Comprehension Strategies for Fiction and Nonfiction</w:t>
      </w:r>
      <w:r>
        <w:rPr>
          <w:rFonts w:cstheme="minorHAnsi"/>
          <w:b/>
          <w:bCs/>
          <w:color w:val="3333FF"/>
          <w:sz w:val="24"/>
          <w:szCs w:val="24"/>
        </w:rPr>
        <w:t xml:space="preserve"> </w:t>
      </w:r>
      <w:r w:rsidRPr="00B975E7">
        <w:rPr>
          <w:rFonts w:cstheme="minorHAnsi"/>
          <w:color w:val="330033"/>
          <w:sz w:val="24"/>
          <w:szCs w:val="24"/>
        </w:rPr>
        <w:t>is designed for both whole-class and small-group instruction in Kindergarten through Grade 5. Using the shared reading instructional strategy, teachers share, demonstrate, and practice with students the specific comprehension skills and strategies that are required to comprehend text in a variety of genres and text types.</w:t>
      </w:r>
    </w:p>
    <w:p w:rsidR="00B975E7" w:rsidRPr="00B975E7" w:rsidRDefault="00B975E7" w:rsidP="00B975E7">
      <w:pPr>
        <w:pStyle w:val="NoSpacing"/>
        <w:rPr>
          <w:rFonts w:cstheme="minorHAnsi"/>
          <w:color w:val="330033"/>
          <w:sz w:val="24"/>
          <w:szCs w:val="24"/>
        </w:rPr>
      </w:pPr>
    </w:p>
    <w:tbl>
      <w:tblPr>
        <w:tblW w:w="10050" w:type="dxa"/>
        <w:tblCellSpacing w:w="15" w:type="dxa"/>
        <w:tblCellMar>
          <w:top w:w="30" w:type="dxa"/>
          <w:left w:w="30" w:type="dxa"/>
          <w:bottom w:w="30" w:type="dxa"/>
          <w:right w:w="30" w:type="dxa"/>
        </w:tblCellMar>
        <w:tblLook w:val="04A0"/>
      </w:tblPr>
      <w:tblGrid>
        <w:gridCol w:w="3805"/>
        <w:gridCol w:w="6245"/>
      </w:tblGrid>
      <w:tr w:rsidR="00B975E7" w:rsidRPr="00B975E7" w:rsidTr="00B975E7">
        <w:trPr>
          <w:tblCellSpacing w:w="15" w:type="dxa"/>
        </w:trPr>
        <w:tc>
          <w:tcPr>
            <w:tcW w:w="0" w:type="auto"/>
            <w:hideMark/>
          </w:tcPr>
          <w:p w:rsidR="00B975E7" w:rsidRPr="00B975E7" w:rsidRDefault="00B975E7" w:rsidP="00B975E7">
            <w:pPr>
              <w:pStyle w:val="NoSpacing"/>
              <w:rPr>
                <w:rFonts w:eastAsia="Times New Roman" w:cstheme="minorHAnsi"/>
                <w:sz w:val="24"/>
                <w:szCs w:val="24"/>
              </w:rPr>
            </w:pPr>
            <w:r w:rsidRPr="00B975E7">
              <w:rPr>
                <w:rFonts w:eastAsia="Times New Roman" w:cstheme="minorHAnsi"/>
                <w:b/>
                <w:bCs/>
                <w:color w:val="000000"/>
                <w:sz w:val="24"/>
                <w:szCs w:val="24"/>
              </w:rPr>
              <w:t xml:space="preserve">Students learn and practice critical </w:t>
            </w:r>
            <w:r w:rsidRPr="00B975E7">
              <w:rPr>
                <w:rFonts w:eastAsia="Times New Roman" w:cstheme="minorHAnsi"/>
                <w:b/>
                <w:bCs/>
                <w:color w:val="000000"/>
                <w:sz w:val="24"/>
                <w:szCs w:val="24"/>
              </w:rPr>
              <w:br/>
              <w:t>comprehension strategies:</w:t>
            </w:r>
            <w:r w:rsidRPr="00B975E7">
              <w:rPr>
                <w:rFonts w:eastAsia="Times New Roman" w:cstheme="minorHAnsi"/>
                <w:color w:val="000000"/>
                <w:sz w:val="24"/>
                <w:szCs w:val="24"/>
              </w:rPr>
              <w:br/>
              <w:t>&gt; Making connections</w:t>
            </w:r>
            <w:r w:rsidRPr="00B975E7">
              <w:rPr>
                <w:rFonts w:eastAsia="Times New Roman" w:cstheme="minorHAnsi"/>
                <w:color w:val="000000"/>
                <w:sz w:val="24"/>
                <w:szCs w:val="24"/>
              </w:rPr>
              <w:br/>
              <w:t>&gt; Answering and generating questions</w:t>
            </w:r>
            <w:r w:rsidRPr="00B975E7">
              <w:rPr>
                <w:rFonts w:eastAsia="Times New Roman" w:cstheme="minorHAnsi"/>
                <w:color w:val="000000"/>
                <w:sz w:val="24"/>
                <w:szCs w:val="24"/>
              </w:rPr>
              <w:br/>
              <w:t>&gt; Visualizing</w:t>
            </w:r>
            <w:r w:rsidRPr="00B975E7">
              <w:rPr>
                <w:rFonts w:eastAsia="Times New Roman" w:cstheme="minorHAnsi"/>
                <w:color w:val="000000"/>
                <w:sz w:val="24"/>
                <w:szCs w:val="24"/>
              </w:rPr>
              <w:br/>
              <w:t>&gt; Making Inferences</w:t>
            </w:r>
            <w:r w:rsidRPr="00B975E7">
              <w:rPr>
                <w:rFonts w:eastAsia="Times New Roman" w:cstheme="minorHAnsi"/>
                <w:color w:val="000000"/>
                <w:sz w:val="24"/>
                <w:szCs w:val="24"/>
              </w:rPr>
              <w:br/>
              <w:t>&gt; Recognizing text structures</w:t>
            </w:r>
            <w:r w:rsidRPr="00B975E7">
              <w:rPr>
                <w:rFonts w:eastAsia="Times New Roman" w:cstheme="minorHAnsi"/>
                <w:color w:val="000000"/>
                <w:sz w:val="24"/>
                <w:szCs w:val="24"/>
              </w:rPr>
              <w:br/>
              <w:t>&gt; Determining importance</w:t>
            </w:r>
            <w:r w:rsidRPr="00B975E7">
              <w:rPr>
                <w:rFonts w:eastAsia="Times New Roman" w:cstheme="minorHAnsi"/>
                <w:color w:val="000000"/>
                <w:sz w:val="24"/>
                <w:szCs w:val="24"/>
              </w:rPr>
              <w:br/>
              <w:t>&gt; Synthesizing/summarizing.</w:t>
            </w:r>
          </w:p>
        </w:tc>
        <w:tc>
          <w:tcPr>
            <w:tcW w:w="6200" w:type="dxa"/>
            <w:hideMark/>
          </w:tcPr>
          <w:p w:rsidR="00B975E7" w:rsidRPr="00B975E7" w:rsidRDefault="00B975E7" w:rsidP="00B975E7">
            <w:pPr>
              <w:pStyle w:val="NoSpacing"/>
              <w:rPr>
                <w:rFonts w:eastAsia="Times New Roman" w:cstheme="minorHAnsi"/>
                <w:sz w:val="24"/>
                <w:szCs w:val="24"/>
              </w:rPr>
            </w:pPr>
            <w:r w:rsidRPr="00B975E7">
              <w:rPr>
                <w:rFonts w:eastAsia="Times New Roman" w:cstheme="minorHAnsi"/>
                <w:b/>
                <w:bCs/>
                <w:color w:val="000000"/>
                <w:sz w:val="24"/>
                <w:szCs w:val="24"/>
              </w:rPr>
              <w:t xml:space="preserve">Both text posters and </w:t>
            </w:r>
            <w:r w:rsidRPr="00B975E7">
              <w:rPr>
                <w:rFonts w:eastAsia="Times New Roman" w:cstheme="minorHAnsi"/>
                <w:b/>
                <w:bCs/>
                <w:color w:val="000000"/>
                <w:sz w:val="24"/>
                <w:szCs w:val="24"/>
              </w:rPr>
              <w:br/>
              <w:t xml:space="preserve">comprehension posters are </w:t>
            </w:r>
            <w:r w:rsidRPr="00B975E7">
              <w:rPr>
                <w:rFonts w:eastAsia="Times New Roman" w:cstheme="minorHAnsi"/>
                <w:b/>
                <w:bCs/>
                <w:color w:val="000000"/>
                <w:sz w:val="24"/>
                <w:szCs w:val="24"/>
              </w:rPr>
              <w:br/>
              <w:t>provided in 3 formats:</w:t>
            </w:r>
            <w:r w:rsidRPr="00B975E7">
              <w:rPr>
                <w:rFonts w:eastAsia="Times New Roman" w:cstheme="minorHAnsi"/>
                <w:color w:val="000000"/>
                <w:sz w:val="24"/>
                <w:szCs w:val="24"/>
              </w:rPr>
              <w:br/>
              <w:t>&gt; Poster 22" x 28"</w:t>
            </w:r>
            <w:r w:rsidRPr="00B975E7">
              <w:rPr>
                <w:rFonts w:eastAsia="Times New Roman" w:cstheme="minorHAnsi"/>
                <w:color w:val="000000"/>
                <w:sz w:val="24"/>
                <w:szCs w:val="24"/>
              </w:rPr>
              <w:br/>
              <w:t>&gt; Reproducible</w:t>
            </w:r>
            <w:r w:rsidRPr="00B975E7">
              <w:rPr>
                <w:rFonts w:eastAsia="Times New Roman" w:cstheme="minorHAnsi"/>
                <w:color w:val="000000"/>
                <w:sz w:val="24"/>
                <w:szCs w:val="24"/>
              </w:rPr>
              <w:br/>
              <w:t>&gt; Transparency</w:t>
            </w:r>
            <w:r w:rsidRPr="00B975E7">
              <w:rPr>
                <w:rFonts w:eastAsia="Times New Roman" w:cstheme="minorHAnsi"/>
                <w:sz w:val="24"/>
                <w:szCs w:val="24"/>
              </w:rPr>
              <w:br/>
            </w:r>
            <w:r w:rsidRPr="00B975E7">
              <w:rPr>
                <w:rFonts w:eastAsia="Times New Roman" w:cstheme="minorHAnsi"/>
                <w:sz w:val="24"/>
                <w:szCs w:val="24"/>
              </w:rPr>
              <w:br/>
            </w:r>
            <w:r w:rsidRPr="00B975E7">
              <w:rPr>
                <w:rFonts w:eastAsia="Times New Roman" w:cstheme="minorHAnsi"/>
                <w:noProof/>
                <w:sz w:val="24"/>
                <w:szCs w:val="24"/>
              </w:rPr>
              <w:drawing>
                <wp:inline distT="0" distB="0" distL="0" distR="0">
                  <wp:extent cx="3028462" cy="2362200"/>
                  <wp:effectExtent l="19050" t="0" r="488" b="0"/>
                  <wp:docPr id="1" name="Picture 1" descr="http://www.mondopub.com/Pages/graphics/3Form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dopub.com/Pages/graphics/3Formats.jpg"/>
                          <pic:cNvPicPr>
                            <a:picLocks noChangeAspect="1" noChangeArrowheads="1"/>
                          </pic:cNvPicPr>
                        </pic:nvPicPr>
                        <pic:blipFill>
                          <a:blip r:embed="rId6" cstate="print"/>
                          <a:srcRect/>
                          <a:stretch>
                            <a:fillRect/>
                          </a:stretch>
                        </pic:blipFill>
                        <pic:spPr bwMode="auto">
                          <a:xfrm>
                            <a:off x="0" y="0"/>
                            <a:ext cx="3028462" cy="2362200"/>
                          </a:xfrm>
                          <a:prstGeom prst="rect">
                            <a:avLst/>
                          </a:prstGeom>
                          <a:noFill/>
                          <a:ln w="9525">
                            <a:noFill/>
                            <a:miter lim="800000"/>
                            <a:headEnd/>
                            <a:tailEnd/>
                          </a:ln>
                        </pic:spPr>
                      </pic:pic>
                    </a:graphicData>
                  </a:graphic>
                </wp:inline>
              </w:drawing>
            </w:r>
          </w:p>
        </w:tc>
      </w:tr>
    </w:tbl>
    <w:p w:rsidR="00B975E7" w:rsidRDefault="00B975E7" w:rsidP="00B975E7">
      <w:pPr>
        <w:pStyle w:val="NoSpacing"/>
        <w:rPr>
          <w:rFonts w:cstheme="minorHAnsi"/>
          <w:sz w:val="24"/>
          <w:szCs w:val="24"/>
        </w:rPr>
      </w:pPr>
    </w:p>
    <w:p w:rsidR="00B975E7" w:rsidRDefault="00B975E7" w:rsidP="00B975E7">
      <w:pPr>
        <w:pStyle w:val="NoSpacing"/>
        <w:rPr>
          <w:rFonts w:cstheme="minorHAnsi"/>
          <w:sz w:val="24"/>
          <w:szCs w:val="24"/>
        </w:rPr>
      </w:pPr>
    </w:p>
    <w:p w:rsidR="00B975E7" w:rsidRDefault="00B975E7" w:rsidP="00B975E7">
      <w:pPr>
        <w:pStyle w:val="NoSpacing"/>
        <w:rPr>
          <w:rFonts w:cstheme="minorHAnsi"/>
          <w:sz w:val="24"/>
          <w:szCs w:val="24"/>
        </w:rPr>
      </w:pPr>
    </w:p>
    <w:p w:rsidR="00B975E7" w:rsidRDefault="00B975E7" w:rsidP="00B975E7">
      <w:pPr>
        <w:pStyle w:val="NoSpacing"/>
        <w:rPr>
          <w:rFonts w:cstheme="minorHAnsi"/>
          <w:sz w:val="24"/>
          <w:szCs w:val="24"/>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F56DFB" w:rsidRDefault="00F56DFB" w:rsidP="00F56DFB">
      <w:pPr>
        <w:pStyle w:val="NoSpacing"/>
        <w:jc w:val="center"/>
        <w:rPr>
          <w:rFonts w:cstheme="minorHAnsi"/>
          <w:b/>
          <w:sz w:val="36"/>
          <w:szCs w:val="36"/>
          <w:u w:val="single"/>
        </w:rPr>
      </w:pPr>
    </w:p>
    <w:p w:rsidR="00B975E7" w:rsidRPr="00F56DFB" w:rsidRDefault="00F56DFB" w:rsidP="00F56DFB">
      <w:pPr>
        <w:pStyle w:val="NoSpacing"/>
        <w:jc w:val="center"/>
        <w:rPr>
          <w:rFonts w:cstheme="minorHAnsi"/>
          <w:b/>
          <w:sz w:val="36"/>
          <w:szCs w:val="36"/>
          <w:u w:val="single"/>
        </w:rPr>
      </w:pPr>
      <w:r w:rsidRPr="00F56DFB">
        <w:rPr>
          <w:rFonts w:cstheme="minorHAnsi"/>
          <w:b/>
          <w:sz w:val="36"/>
          <w:szCs w:val="36"/>
          <w:u w:val="single"/>
        </w:rPr>
        <w:lastRenderedPageBreak/>
        <w:t>Supports for Writing Block:</w:t>
      </w:r>
    </w:p>
    <w:p w:rsidR="00B975E7" w:rsidRPr="00B975E7" w:rsidRDefault="00B975E7" w:rsidP="00B975E7">
      <w:pPr>
        <w:pStyle w:val="NoSpacing"/>
        <w:rPr>
          <w:rFonts w:cstheme="minorHAnsi"/>
          <w:sz w:val="24"/>
          <w:szCs w:val="24"/>
        </w:rPr>
      </w:pPr>
    </w:p>
    <w:p w:rsidR="00B975E7" w:rsidRPr="00B975E7" w:rsidRDefault="00B975E7" w:rsidP="00F56DFB">
      <w:pPr>
        <w:pStyle w:val="NoSpacing"/>
        <w:rPr>
          <w:rFonts w:cstheme="minorHAnsi"/>
          <w:b/>
          <w:sz w:val="24"/>
          <w:szCs w:val="24"/>
          <w:u w:val="single"/>
        </w:rPr>
      </w:pPr>
      <w:r w:rsidRPr="00B975E7">
        <w:rPr>
          <w:rFonts w:cstheme="minorHAnsi"/>
          <w:b/>
          <w:sz w:val="24"/>
          <w:szCs w:val="24"/>
          <w:u w:val="single"/>
        </w:rPr>
        <w:t>Teaching Qualities of Writing:</w:t>
      </w:r>
    </w:p>
    <w:p w:rsidR="00B975E7" w:rsidRPr="00B975E7" w:rsidRDefault="00B975E7" w:rsidP="00B975E7">
      <w:pPr>
        <w:pStyle w:val="NoSpacing"/>
        <w:rPr>
          <w:rFonts w:cstheme="minorHAnsi"/>
          <w:sz w:val="24"/>
          <w:szCs w:val="24"/>
        </w:rPr>
      </w:pPr>
    </w:p>
    <w:p w:rsidR="00B975E7" w:rsidRPr="00B975E7" w:rsidRDefault="00B975E7" w:rsidP="00B975E7">
      <w:pPr>
        <w:spacing w:after="0" w:line="285" w:lineRule="atLeast"/>
        <w:rPr>
          <w:rFonts w:eastAsia="Times New Roman" w:cstheme="minorHAnsi"/>
          <w:sz w:val="24"/>
          <w:szCs w:val="24"/>
        </w:rPr>
      </w:pPr>
      <w:r w:rsidRPr="00B975E7">
        <w:rPr>
          <w:rFonts w:eastAsia="Times New Roman" w:cstheme="minorHAnsi"/>
          <w:b/>
          <w:bCs/>
          <w:sz w:val="24"/>
          <w:szCs w:val="24"/>
        </w:rPr>
        <w:t>Teaching the Qualities of Writing</w:t>
      </w:r>
      <w:r w:rsidR="00F56DFB">
        <w:rPr>
          <w:rFonts w:eastAsia="Times New Roman" w:cstheme="minorHAnsi"/>
          <w:color w:val="3D3832"/>
          <w:sz w:val="24"/>
          <w:szCs w:val="24"/>
        </w:rPr>
        <w:t xml:space="preserve"> </w:t>
      </w:r>
      <w:r w:rsidRPr="00B975E7">
        <w:rPr>
          <w:rFonts w:eastAsia="Times New Roman" w:cstheme="minorHAnsi"/>
          <w:b/>
          <w:bCs/>
          <w:color w:val="3D3832"/>
          <w:sz w:val="24"/>
          <w:szCs w:val="24"/>
        </w:rPr>
        <w:t xml:space="preserve">by Ralph Fletch and </w:t>
      </w:r>
      <w:proofErr w:type="spellStart"/>
      <w:r w:rsidRPr="00B975E7">
        <w:rPr>
          <w:rFonts w:eastAsia="Times New Roman" w:cstheme="minorHAnsi"/>
          <w:b/>
          <w:bCs/>
          <w:color w:val="3D3832"/>
          <w:sz w:val="24"/>
          <w:szCs w:val="24"/>
        </w:rPr>
        <w:t>JoAnn</w:t>
      </w:r>
      <w:proofErr w:type="spellEnd"/>
      <w:r w:rsidRPr="00B975E7">
        <w:rPr>
          <w:rFonts w:eastAsia="Times New Roman" w:cstheme="minorHAnsi"/>
          <w:b/>
          <w:bCs/>
          <w:color w:val="3D3832"/>
          <w:sz w:val="24"/>
          <w:szCs w:val="24"/>
        </w:rPr>
        <w:t xml:space="preserve"> </w:t>
      </w:r>
      <w:proofErr w:type="spellStart"/>
      <w:r w:rsidRPr="00B975E7">
        <w:rPr>
          <w:rFonts w:eastAsia="Times New Roman" w:cstheme="minorHAnsi"/>
          <w:b/>
          <w:bCs/>
          <w:color w:val="3D3832"/>
          <w:sz w:val="24"/>
          <w:szCs w:val="24"/>
        </w:rPr>
        <w:t>Portalupi</w:t>
      </w:r>
      <w:proofErr w:type="spellEnd"/>
      <w:r w:rsidRPr="00B975E7">
        <w:rPr>
          <w:rFonts w:eastAsia="Times New Roman" w:cstheme="minorHAnsi"/>
          <w:color w:val="3D3832"/>
          <w:sz w:val="24"/>
          <w:szCs w:val="24"/>
        </w:rPr>
        <w:br/>
      </w:r>
      <w:r w:rsidRPr="00B975E7">
        <w:rPr>
          <w:rFonts w:eastAsia="Times New Roman" w:cstheme="minorHAnsi"/>
          <w:color w:val="3D3832"/>
          <w:sz w:val="24"/>
          <w:szCs w:val="24"/>
        </w:rPr>
        <w:br/>
      </w:r>
      <w:r w:rsidRPr="00F56DFB">
        <w:rPr>
          <w:rFonts w:eastAsia="Times New Roman" w:cstheme="minorHAnsi"/>
          <w:b/>
          <w:bCs/>
          <w:sz w:val="24"/>
          <w:szCs w:val="24"/>
        </w:rPr>
        <w:t>Teaching the Qualities of Writing</w:t>
      </w:r>
      <w:r w:rsidRPr="00B975E7">
        <w:rPr>
          <w:rFonts w:eastAsia="Times New Roman" w:cstheme="minorHAnsi"/>
          <w:color w:val="3D3832"/>
          <w:sz w:val="24"/>
          <w:szCs w:val="24"/>
        </w:rPr>
        <w:t xml:space="preserve"> </w:t>
      </w:r>
      <w:r w:rsidRPr="00B975E7">
        <w:rPr>
          <w:rFonts w:eastAsia="Times New Roman" w:cstheme="minorHAnsi"/>
          <w:sz w:val="24"/>
          <w:szCs w:val="24"/>
        </w:rPr>
        <w:t>(TQW) is a ready-to-use writing curriculum that provides you with the instruction students need to improve the quality of their writing and at the same time develops your ability to read and assess your students’ writing. These hands-on lessons explore the qualities of writing—ideas, design, language, presentation—and show how, when each is infused with voice, the writer’s personality energizes the writing.</w:t>
      </w:r>
    </w:p>
    <w:p w:rsidR="00B975E7" w:rsidRDefault="00B975E7" w:rsidP="00B975E7">
      <w:pPr>
        <w:spacing w:after="0" w:line="285" w:lineRule="atLeast"/>
        <w:rPr>
          <w:rFonts w:eastAsia="Times New Roman" w:cstheme="minorHAnsi"/>
          <w:color w:val="9D0A0E"/>
          <w:sz w:val="24"/>
          <w:szCs w:val="24"/>
        </w:rPr>
      </w:pPr>
    </w:p>
    <w:p w:rsidR="00B975E7" w:rsidRPr="00B975E7" w:rsidRDefault="00B975E7" w:rsidP="00B975E7">
      <w:pPr>
        <w:spacing w:after="0" w:line="285" w:lineRule="atLeast"/>
        <w:rPr>
          <w:rFonts w:eastAsia="Times New Roman" w:cstheme="minorHAnsi"/>
          <w:b/>
          <w:sz w:val="24"/>
          <w:szCs w:val="24"/>
        </w:rPr>
      </w:pPr>
      <w:r w:rsidRPr="00B975E7">
        <w:rPr>
          <w:rFonts w:eastAsia="Times New Roman" w:cstheme="minorHAnsi"/>
          <w:b/>
          <w:sz w:val="24"/>
          <w:szCs w:val="24"/>
        </w:rPr>
        <w:t>Components of TQW Program:</w:t>
      </w:r>
    </w:p>
    <w:p w:rsidR="00B975E7" w:rsidRPr="00F56DFB" w:rsidRDefault="00B975E7" w:rsidP="00B975E7">
      <w:pPr>
        <w:pStyle w:val="ListParagraph"/>
        <w:numPr>
          <w:ilvl w:val="0"/>
          <w:numId w:val="2"/>
        </w:numPr>
        <w:spacing w:after="0" w:line="285" w:lineRule="atLeast"/>
        <w:rPr>
          <w:rFonts w:eastAsia="Times New Roman" w:cstheme="minorHAnsi"/>
          <w:sz w:val="24"/>
          <w:szCs w:val="24"/>
        </w:rPr>
      </w:pPr>
      <w:r w:rsidRPr="00F56DFB">
        <w:rPr>
          <w:rFonts w:eastAsia="Times New Roman" w:cstheme="minorHAnsi"/>
          <w:sz w:val="24"/>
          <w:szCs w:val="24"/>
        </w:rPr>
        <w:t xml:space="preserve">Lesson Cards: 112 Ready-to-use Lessons, Exemplar Text </w:t>
      </w:r>
    </w:p>
    <w:p w:rsidR="00B975E7" w:rsidRPr="00F56DFB" w:rsidRDefault="00B975E7" w:rsidP="00B975E7">
      <w:pPr>
        <w:pStyle w:val="ListParagraph"/>
        <w:numPr>
          <w:ilvl w:val="0"/>
          <w:numId w:val="2"/>
        </w:numPr>
        <w:spacing w:after="0" w:line="285" w:lineRule="atLeast"/>
        <w:rPr>
          <w:rFonts w:eastAsia="Times New Roman" w:cstheme="minorHAnsi"/>
          <w:sz w:val="24"/>
          <w:szCs w:val="24"/>
        </w:rPr>
      </w:pPr>
      <w:r w:rsidRPr="00F56DFB">
        <w:rPr>
          <w:rFonts w:eastAsia="Times New Roman" w:cstheme="minorHAnsi"/>
          <w:sz w:val="24"/>
          <w:szCs w:val="24"/>
        </w:rPr>
        <w:t xml:space="preserve">Teaching Guide: Program Overview, Planning Charts, Assessment Forms </w:t>
      </w:r>
    </w:p>
    <w:p w:rsidR="00B975E7" w:rsidRPr="00B975E7" w:rsidRDefault="00B975E7" w:rsidP="00B975E7">
      <w:pPr>
        <w:pStyle w:val="ListParagraph"/>
        <w:numPr>
          <w:ilvl w:val="0"/>
          <w:numId w:val="2"/>
        </w:numPr>
        <w:spacing w:after="0" w:line="285" w:lineRule="atLeast"/>
        <w:rPr>
          <w:rFonts w:eastAsia="Times New Roman" w:cstheme="minorHAnsi"/>
          <w:color w:val="3D3832"/>
          <w:sz w:val="24"/>
          <w:szCs w:val="24"/>
        </w:rPr>
      </w:pPr>
      <w:r w:rsidRPr="00F56DFB">
        <w:rPr>
          <w:rFonts w:eastAsia="Times New Roman" w:cstheme="minorHAnsi"/>
          <w:sz w:val="24"/>
          <w:szCs w:val="24"/>
        </w:rPr>
        <w:t>CD-ROM</w:t>
      </w:r>
      <w:r w:rsidRPr="00B975E7">
        <w:rPr>
          <w:rFonts w:eastAsia="Times New Roman" w:cstheme="minorHAnsi"/>
          <w:color w:val="9D0A0E"/>
          <w:sz w:val="24"/>
          <w:szCs w:val="24"/>
        </w:rPr>
        <w:t>:</w:t>
      </w:r>
      <w:r w:rsidRPr="00B975E7">
        <w:rPr>
          <w:rFonts w:eastAsia="Times New Roman" w:cstheme="minorHAnsi"/>
          <w:color w:val="3D3832"/>
          <w:sz w:val="24"/>
          <w:szCs w:val="24"/>
        </w:rPr>
        <w:t xml:space="preserve"> Author Videos, Student Writing Discussions, Print Resources</w:t>
      </w:r>
    </w:p>
    <w:p w:rsidR="00B975E7" w:rsidRPr="00B975E7" w:rsidRDefault="00B975E7" w:rsidP="00B975E7">
      <w:pPr>
        <w:pStyle w:val="NoSpacing"/>
        <w:rPr>
          <w:rFonts w:cstheme="minorHAnsi"/>
          <w:sz w:val="24"/>
          <w:szCs w:val="24"/>
        </w:rPr>
      </w:pPr>
    </w:p>
    <w:p w:rsidR="00B975E7" w:rsidRPr="00B975E7" w:rsidRDefault="00B975E7" w:rsidP="00B975E7">
      <w:pPr>
        <w:spacing w:after="0" w:line="285" w:lineRule="atLeast"/>
        <w:rPr>
          <w:rFonts w:eastAsia="Times New Roman" w:cstheme="minorHAnsi"/>
          <w:color w:val="3D3832"/>
          <w:sz w:val="24"/>
          <w:szCs w:val="24"/>
        </w:rPr>
      </w:pPr>
      <w:r w:rsidRPr="00B975E7">
        <w:rPr>
          <w:rFonts w:eastAsia="Times New Roman" w:cstheme="minorHAnsi"/>
          <w:b/>
          <w:bCs/>
          <w:sz w:val="24"/>
          <w:szCs w:val="24"/>
        </w:rPr>
        <w:t>Lessons for the Writer's Notebook</w:t>
      </w:r>
      <w:r w:rsidRPr="00B975E7">
        <w:rPr>
          <w:rFonts w:eastAsia="Times New Roman" w:cstheme="minorHAnsi"/>
          <w:color w:val="3D3832"/>
          <w:sz w:val="24"/>
          <w:szCs w:val="24"/>
        </w:rPr>
        <w:br/>
      </w:r>
      <w:r w:rsidRPr="00B975E7">
        <w:rPr>
          <w:rFonts w:eastAsia="Times New Roman" w:cstheme="minorHAnsi"/>
          <w:b/>
          <w:bCs/>
          <w:color w:val="3D3832"/>
          <w:sz w:val="24"/>
          <w:szCs w:val="24"/>
        </w:rPr>
        <w:t xml:space="preserve">by Ralph Fletcher &amp; </w:t>
      </w:r>
      <w:proofErr w:type="spellStart"/>
      <w:r w:rsidRPr="00B975E7">
        <w:rPr>
          <w:rFonts w:eastAsia="Times New Roman" w:cstheme="minorHAnsi"/>
          <w:b/>
          <w:bCs/>
          <w:color w:val="3D3832"/>
          <w:sz w:val="24"/>
          <w:szCs w:val="24"/>
        </w:rPr>
        <w:t>JoAnn</w:t>
      </w:r>
      <w:proofErr w:type="spellEnd"/>
      <w:r w:rsidRPr="00B975E7">
        <w:rPr>
          <w:rFonts w:eastAsia="Times New Roman" w:cstheme="minorHAnsi"/>
          <w:b/>
          <w:bCs/>
          <w:color w:val="3D3832"/>
          <w:sz w:val="24"/>
          <w:szCs w:val="24"/>
        </w:rPr>
        <w:t xml:space="preserve"> </w:t>
      </w:r>
      <w:proofErr w:type="spellStart"/>
      <w:r w:rsidRPr="00B975E7">
        <w:rPr>
          <w:rFonts w:eastAsia="Times New Roman" w:cstheme="minorHAnsi"/>
          <w:b/>
          <w:bCs/>
          <w:color w:val="3D3832"/>
          <w:sz w:val="24"/>
          <w:szCs w:val="24"/>
        </w:rPr>
        <w:t>Portalupi</w:t>
      </w:r>
      <w:proofErr w:type="spellEnd"/>
      <w:r w:rsidRPr="00B975E7">
        <w:rPr>
          <w:rFonts w:eastAsia="Times New Roman" w:cstheme="minorHAnsi"/>
          <w:color w:val="3D3832"/>
          <w:sz w:val="24"/>
          <w:szCs w:val="24"/>
        </w:rPr>
        <w:br/>
      </w:r>
      <w:r w:rsidRPr="00B975E7">
        <w:rPr>
          <w:rFonts w:eastAsia="Times New Roman" w:cstheme="minorHAnsi"/>
          <w:i/>
          <w:iCs/>
          <w:color w:val="3D3832"/>
          <w:sz w:val="24"/>
          <w:szCs w:val="24"/>
        </w:rPr>
        <w:t>Heinemann</w:t>
      </w:r>
      <w:r w:rsidRPr="00B975E7">
        <w:rPr>
          <w:rFonts w:eastAsia="Times New Roman" w:cstheme="minorHAnsi"/>
          <w:color w:val="3D3832"/>
          <w:sz w:val="24"/>
          <w:szCs w:val="24"/>
        </w:rPr>
        <w:br/>
      </w:r>
      <w:r w:rsidRPr="00B975E7">
        <w:rPr>
          <w:rFonts w:eastAsia="Times New Roman" w:cstheme="minorHAnsi"/>
          <w:color w:val="3D3832"/>
          <w:sz w:val="24"/>
          <w:szCs w:val="24"/>
        </w:rPr>
        <w:br/>
      </w:r>
      <w:r w:rsidRPr="00B975E7">
        <w:rPr>
          <w:rFonts w:eastAsia="Times New Roman" w:cstheme="minorHAnsi"/>
          <w:b/>
          <w:bCs/>
          <w:color w:val="3D3832"/>
          <w:sz w:val="24"/>
          <w:szCs w:val="24"/>
        </w:rPr>
        <w:t>Writer's notebooks</w:t>
      </w:r>
      <w:r w:rsidRPr="00B975E7">
        <w:rPr>
          <w:rFonts w:eastAsia="Times New Roman" w:cstheme="minorHAnsi"/>
          <w:color w:val="3D3832"/>
          <w:sz w:val="24"/>
          <w:szCs w:val="24"/>
        </w:rPr>
        <w:t xml:space="preserve"> can be powerful assets for any writing teacher. They provide a high-comfort, "hot-house" environment where students' writing can flourish. Lessons for the Writer's Notebook by Ralph Fletcher and </w:t>
      </w:r>
      <w:proofErr w:type="spellStart"/>
      <w:r w:rsidRPr="00B975E7">
        <w:rPr>
          <w:rFonts w:eastAsia="Times New Roman" w:cstheme="minorHAnsi"/>
          <w:color w:val="3D3832"/>
          <w:sz w:val="24"/>
          <w:szCs w:val="24"/>
        </w:rPr>
        <w:t>JoAnn</w:t>
      </w:r>
      <w:proofErr w:type="spellEnd"/>
      <w:r w:rsidRPr="00B975E7">
        <w:rPr>
          <w:rFonts w:eastAsia="Times New Roman" w:cstheme="minorHAnsi"/>
          <w:color w:val="3D3832"/>
          <w:sz w:val="24"/>
          <w:szCs w:val="24"/>
        </w:rPr>
        <w:t xml:space="preserve"> </w:t>
      </w:r>
      <w:proofErr w:type="spellStart"/>
      <w:r w:rsidRPr="00B975E7">
        <w:rPr>
          <w:rFonts w:eastAsia="Times New Roman" w:cstheme="minorHAnsi"/>
          <w:color w:val="3D3832"/>
          <w:sz w:val="24"/>
          <w:szCs w:val="24"/>
        </w:rPr>
        <w:t>Portalupi</w:t>
      </w:r>
      <w:proofErr w:type="spellEnd"/>
      <w:r w:rsidRPr="00B975E7">
        <w:rPr>
          <w:rFonts w:eastAsia="Times New Roman" w:cstheme="minorHAnsi"/>
          <w:color w:val="3D3832"/>
          <w:sz w:val="24"/>
          <w:szCs w:val="24"/>
        </w:rPr>
        <w:t xml:space="preserve"> provides a series of proven lessons that will help you introduce the writer's notebook into your classroom, sustain it in your curriculum, and eventually guide students to transition from the privacy of the notebook to public, finished pieces of writing. Whether used as a stand-alone resource in your literacy block, or as an alternative launch cycle in </w:t>
      </w:r>
      <w:proofErr w:type="gramStart"/>
      <w:r w:rsidRPr="00B975E7">
        <w:rPr>
          <w:rFonts w:eastAsia="Times New Roman" w:cstheme="minorHAnsi"/>
          <w:color w:val="3D3832"/>
          <w:sz w:val="24"/>
          <w:szCs w:val="24"/>
        </w:rPr>
        <w:t>your</w:t>
      </w:r>
      <w:proofErr w:type="gramEnd"/>
      <w:r w:rsidRPr="00B975E7">
        <w:rPr>
          <w:rFonts w:eastAsia="Times New Roman" w:cstheme="minorHAnsi"/>
          <w:color w:val="3D3832"/>
          <w:sz w:val="24"/>
          <w:szCs w:val="24"/>
        </w:rPr>
        <w:t xml:space="preserve"> Teaching the Qualities of Writing (TQW) curriculum, Lessons for the Writer's Notebook will inspire your students to pick up a pen and imagine the writing possibilities</w:t>
      </w:r>
    </w:p>
    <w:p w:rsidR="00B975E7" w:rsidRDefault="00B975E7" w:rsidP="00B975E7">
      <w:pPr>
        <w:spacing w:after="0" w:line="285" w:lineRule="atLeast"/>
        <w:rPr>
          <w:rFonts w:eastAsia="Times New Roman" w:cstheme="minorHAnsi"/>
          <w:color w:val="9D0A0E"/>
          <w:sz w:val="24"/>
          <w:szCs w:val="24"/>
        </w:rPr>
      </w:pPr>
    </w:p>
    <w:p w:rsidR="00B975E7" w:rsidRPr="00F56DFB" w:rsidRDefault="00B975E7" w:rsidP="00B975E7">
      <w:pPr>
        <w:spacing w:after="0" w:line="285" w:lineRule="atLeast"/>
        <w:rPr>
          <w:rFonts w:eastAsia="Times New Roman" w:cstheme="minorHAnsi"/>
          <w:b/>
          <w:sz w:val="24"/>
          <w:szCs w:val="24"/>
        </w:rPr>
      </w:pPr>
      <w:r w:rsidRPr="00F56DFB">
        <w:rPr>
          <w:rFonts w:eastAsia="Times New Roman" w:cstheme="minorHAnsi"/>
          <w:b/>
          <w:sz w:val="24"/>
          <w:szCs w:val="24"/>
        </w:rPr>
        <w:t>Components of Writer’s Notebook Lessons Packet:</w:t>
      </w:r>
    </w:p>
    <w:p w:rsidR="00B975E7" w:rsidRDefault="00B975E7" w:rsidP="00B975E7">
      <w:pPr>
        <w:pStyle w:val="ListParagraph"/>
        <w:numPr>
          <w:ilvl w:val="0"/>
          <w:numId w:val="3"/>
        </w:numPr>
        <w:spacing w:after="0" w:line="285" w:lineRule="atLeast"/>
        <w:rPr>
          <w:rFonts w:eastAsia="Times New Roman" w:cstheme="minorHAnsi"/>
          <w:color w:val="3D3832"/>
          <w:sz w:val="24"/>
          <w:szCs w:val="24"/>
        </w:rPr>
      </w:pPr>
      <w:r w:rsidRPr="00F56DFB">
        <w:rPr>
          <w:rFonts w:eastAsia="Times New Roman" w:cstheme="minorHAnsi"/>
          <w:sz w:val="24"/>
          <w:szCs w:val="24"/>
        </w:rPr>
        <w:t>Lesson Cards</w:t>
      </w:r>
      <w:r w:rsidRPr="00B975E7">
        <w:rPr>
          <w:rFonts w:eastAsia="Times New Roman" w:cstheme="minorHAnsi"/>
          <w:color w:val="3D3832"/>
          <w:sz w:val="24"/>
          <w:szCs w:val="24"/>
        </w:rPr>
        <w:br/>
        <w:t>-20 ready-to-use lessons</w:t>
      </w:r>
    </w:p>
    <w:p w:rsidR="00B975E7" w:rsidRPr="00B975E7" w:rsidRDefault="00B975E7" w:rsidP="00B975E7">
      <w:pPr>
        <w:pStyle w:val="ListParagraph"/>
        <w:numPr>
          <w:ilvl w:val="0"/>
          <w:numId w:val="3"/>
        </w:numPr>
        <w:spacing w:after="0" w:line="285" w:lineRule="atLeast"/>
        <w:rPr>
          <w:rFonts w:eastAsia="Times New Roman" w:cstheme="minorHAnsi"/>
          <w:color w:val="3D3832"/>
          <w:sz w:val="24"/>
          <w:szCs w:val="24"/>
        </w:rPr>
      </w:pPr>
      <w:r w:rsidRPr="00F56DFB">
        <w:rPr>
          <w:rFonts w:eastAsia="Times New Roman" w:cstheme="minorHAnsi"/>
          <w:sz w:val="24"/>
          <w:szCs w:val="24"/>
        </w:rPr>
        <w:t>Author Chats CD</w:t>
      </w:r>
      <w:r w:rsidRPr="00B975E7">
        <w:rPr>
          <w:rFonts w:eastAsia="Times New Roman" w:cstheme="minorHAnsi"/>
          <w:color w:val="9D0A0E"/>
          <w:sz w:val="24"/>
          <w:szCs w:val="24"/>
        </w:rPr>
        <w:br/>
      </w:r>
      <w:r w:rsidRPr="00B975E7">
        <w:rPr>
          <w:rFonts w:eastAsia="Times New Roman" w:cstheme="minorHAnsi"/>
          <w:color w:val="3D3832"/>
          <w:sz w:val="24"/>
          <w:szCs w:val="24"/>
        </w:rPr>
        <w:t>-quick audio clips from Ralph explain how he uses his writer's notebook</w:t>
      </w:r>
    </w:p>
    <w:p w:rsidR="00B975E7" w:rsidRPr="00B975E7" w:rsidRDefault="00B975E7" w:rsidP="00B975E7">
      <w:pPr>
        <w:pStyle w:val="ListParagraph"/>
        <w:numPr>
          <w:ilvl w:val="0"/>
          <w:numId w:val="3"/>
        </w:numPr>
        <w:spacing w:after="0" w:line="285" w:lineRule="atLeast"/>
        <w:rPr>
          <w:rFonts w:eastAsia="Times New Roman" w:cstheme="minorHAnsi"/>
          <w:color w:val="3D3832"/>
          <w:sz w:val="24"/>
          <w:szCs w:val="24"/>
        </w:rPr>
      </w:pPr>
      <w:r w:rsidRPr="00F56DFB">
        <w:rPr>
          <w:rFonts w:eastAsia="Times New Roman" w:cstheme="minorHAnsi"/>
          <w:sz w:val="24"/>
          <w:szCs w:val="24"/>
        </w:rPr>
        <w:t>Teacher's Guide</w:t>
      </w:r>
      <w:r w:rsidRPr="00B975E7">
        <w:rPr>
          <w:rFonts w:eastAsia="Times New Roman" w:cstheme="minorHAnsi"/>
          <w:color w:val="3D3832"/>
          <w:sz w:val="24"/>
          <w:szCs w:val="24"/>
        </w:rPr>
        <w:br/>
        <w:t>-philosophy of the writer's notebook</w:t>
      </w:r>
      <w:r w:rsidRPr="00B975E7">
        <w:rPr>
          <w:rFonts w:eastAsia="Times New Roman" w:cstheme="minorHAnsi"/>
          <w:color w:val="3D3832"/>
          <w:sz w:val="24"/>
          <w:szCs w:val="24"/>
        </w:rPr>
        <w:br/>
        <w:t>-planning charts</w:t>
      </w:r>
      <w:r w:rsidRPr="00B975E7">
        <w:rPr>
          <w:rFonts w:eastAsia="Times New Roman" w:cstheme="minorHAnsi"/>
          <w:color w:val="3D3832"/>
          <w:sz w:val="24"/>
          <w:szCs w:val="24"/>
        </w:rPr>
        <w:br/>
        <w:t>-teaching tips</w:t>
      </w:r>
    </w:p>
    <w:p w:rsidR="00B975E7" w:rsidRDefault="00B975E7" w:rsidP="00B975E7">
      <w:pPr>
        <w:spacing w:after="0" w:line="285" w:lineRule="atLeast"/>
        <w:rPr>
          <w:rFonts w:eastAsia="Times New Roman" w:cstheme="minorHAnsi"/>
          <w:color w:val="9D0A0E"/>
          <w:sz w:val="24"/>
          <w:szCs w:val="24"/>
        </w:rPr>
      </w:pPr>
    </w:p>
    <w:p w:rsidR="00B975E7" w:rsidRPr="00B975E7" w:rsidRDefault="00B975E7" w:rsidP="00B975E7">
      <w:pPr>
        <w:spacing w:after="0" w:line="285" w:lineRule="atLeast"/>
        <w:rPr>
          <w:rFonts w:eastAsia="Times New Roman" w:cstheme="minorHAnsi"/>
          <w:i/>
          <w:color w:val="3D3832"/>
          <w:sz w:val="24"/>
          <w:szCs w:val="24"/>
        </w:rPr>
      </w:pPr>
      <w:r w:rsidRPr="00B975E7">
        <w:rPr>
          <w:rFonts w:eastAsia="Times New Roman" w:cstheme="minorHAnsi"/>
          <w:i/>
          <w:color w:val="3D3832"/>
          <w:sz w:val="24"/>
          <w:szCs w:val="24"/>
        </w:rPr>
        <w:t xml:space="preserve">While </w:t>
      </w:r>
      <w:r w:rsidRPr="00F56DFB">
        <w:rPr>
          <w:rFonts w:eastAsia="Times New Roman" w:cstheme="minorHAnsi"/>
          <w:i/>
          <w:iCs/>
          <w:color w:val="3D3832"/>
          <w:sz w:val="24"/>
          <w:szCs w:val="24"/>
        </w:rPr>
        <w:t>Lessons for the Writers Notebook</w:t>
      </w:r>
      <w:r w:rsidRPr="00B975E7">
        <w:rPr>
          <w:rFonts w:eastAsia="Times New Roman" w:cstheme="minorHAnsi"/>
          <w:i/>
          <w:color w:val="3D3832"/>
          <w:sz w:val="24"/>
          <w:szCs w:val="24"/>
        </w:rPr>
        <w:t xml:space="preserve"> will support any writing curriculum, it is ideally suited to reinforce and extend </w:t>
      </w:r>
      <w:proofErr w:type="spellStart"/>
      <w:r w:rsidRPr="00B975E7">
        <w:rPr>
          <w:rFonts w:eastAsia="Times New Roman" w:cstheme="minorHAnsi"/>
          <w:i/>
          <w:color w:val="3D3832"/>
          <w:sz w:val="24"/>
          <w:szCs w:val="24"/>
        </w:rPr>
        <w:t>Portalupi</w:t>
      </w:r>
      <w:proofErr w:type="spellEnd"/>
      <w:r w:rsidRPr="00B975E7">
        <w:rPr>
          <w:rFonts w:eastAsia="Times New Roman" w:cstheme="minorHAnsi"/>
          <w:i/>
          <w:color w:val="3D3832"/>
          <w:sz w:val="24"/>
          <w:szCs w:val="24"/>
        </w:rPr>
        <w:t xml:space="preserve"> and Fletcher's </w:t>
      </w:r>
      <w:proofErr w:type="gramStart"/>
      <w:r w:rsidRPr="00F56DFB">
        <w:rPr>
          <w:rFonts w:eastAsia="Times New Roman" w:cstheme="minorHAnsi"/>
          <w:i/>
          <w:iCs/>
          <w:color w:val="3D3832"/>
          <w:sz w:val="24"/>
          <w:szCs w:val="24"/>
        </w:rPr>
        <w:t>Teaching</w:t>
      </w:r>
      <w:proofErr w:type="gramEnd"/>
      <w:r w:rsidRPr="00F56DFB">
        <w:rPr>
          <w:rFonts w:eastAsia="Times New Roman" w:cstheme="minorHAnsi"/>
          <w:i/>
          <w:iCs/>
          <w:color w:val="3D3832"/>
          <w:sz w:val="24"/>
          <w:szCs w:val="24"/>
        </w:rPr>
        <w:t xml:space="preserve"> the Qualities of Writing</w:t>
      </w:r>
      <w:r w:rsidRPr="00B975E7">
        <w:rPr>
          <w:rFonts w:eastAsia="Times New Roman" w:cstheme="minorHAnsi"/>
          <w:i/>
          <w:color w:val="3D3832"/>
          <w:sz w:val="24"/>
          <w:szCs w:val="24"/>
        </w:rPr>
        <w:t xml:space="preserve"> (TQW). Mirroring </w:t>
      </w:r>
      <w:r w:rsidRPr="00B975E7">
        <w:rPr>
          <w:rFonts w:eastAsia="Times New Roman" w:cstheme="minorHAnsi"/>
          <w:i/>
          <w:color w:val="3D3832"/>
          <w:sz w:val="24"/>
          <w:szCs w:val="24"/>
        </w:rPr>
        <w:lastRenderedPageBreak/>
        <w:t xml:space="preserve">the approach and three-part lesson structure of TQW's ready-to-use lessons, the Lessons for the Writer's Notebook offers an alternative launch cycle for introducing your TQW curriculum. Together, </w:t>
      </w:r>
      <w:r w:rsidRPr="00F56DFB">
        <w:rPr>
          <w:rFonts w:eastAsia="Times New Roman" w:cstheme="minorHAnsi"/>
          <w:i/>
          <w:iCs/>
          <w:color w:val="3D3832"/>
          <w:sz w:val="24"/>
          <w:szCs w:val="24"/>
        </w:rPr>
        <w:t>Notebook</w:t>
      </w:r>
      <w:r w:rsidRPr="00B975E7">
        <w:rPr>
          <w:rFonts w:eastAsia="Times New Roman" w:cstheme="minorHAnsi"/>
          <w:i/>
          <w:color w:val="3D3832"/>
          <w:sz w:val="24"/>
          <w:szCs w:val="24"/>
        </w:rPr>
        <w:t xml:space="preserve"> and </w:t>
      </w:r>
      <w:r w:rsidRPr="00F56DFB">
        <w:rPr>
          <w:rFonts w:eastAsia="Times New Roman" w:cstheme="minorHAnsi"/>
          <w:i/>
          <w:iCs/>
          <w:color w:val="3D3832"/>
          <w:sz w:val="24"/>
          <w:szCs w:val="24"/>
        </w:rPr>
        <w:t>TQW</w:t>
      </w:r>
      <w:r w:rsidRPr="00B975E7">
        <w:rPr>
          <w:rFonts w:eastAsia="Times New Roman" w:cstheme="minorHAnsi"/>
          <w:i/>
          <w:color w:val="3D3832"/>
          <w:sz w:val="24"/>
          <w:szCs w:val="24"/>
        </w:rPr>
        <w:t xml:space="preserve"> will improve the quality of your students' writing while it develops your ability to read and assess their work.</w:t>
      </w:r>
    </w:p>
    <w:p w:rsidR="00B975E7" w:rsidRDefault="00B975E7" w:rsidP="00B975E7">
      <w:pPr>
        <w:pStyle w:val="NoSpacing"/>
        <w:rPr>
          <w:rFonts w:cstheme="minorHAnsi"/>
          <w:i/>
          <w:sz w:val="24"/>
          <w:szCs w:val="24"/>
        </w:rPr>
      </w:pPr>
    </w:p>
    <w:p w:rsidR="00F56DFB" w:rsidRDefault="00F56DFB" w:rsidP="00B975E7">
      <w:pPr>
        <w:pStyle w:val="NoSpacing"/>
        <w:rPr>
          <w:rFonts w:cstheme="minorHAnsi"/>
          <w:i/>
          <w:sz w:val="24"/>
          <w:szCs w:val="24"/>
        </w:rPr>
      </w:pPr>
    </w:p>
    <w:p w:rsidR="00F56DFB" w:rsidRPr="00F56DFB" w:rsidRDefault="00F56DFB" w:rsidP="00B975E7">
      <w:pPr>
        <w:pStyle w:val="NoSpacing"/>
        <w:rPr>
          <w:rFonts w:cstheme="minorHAnsi"/>
          <w:b/>
          <w:sz w:val="24"/>
          <w:szCs w:val="24"/>
          <w:u w:val="single"/>
        </w:rPr>
      </w:pPr>
      <w:r w:rsidRPr="00F56DFB">
        <w:rPr>
          <w:rFonts w:cstheme="minorHAnsi"/>
          <w:b/>
          <w:sz w:val="24"/>
          <w:szCs w:val="24"/>
          <w:u w:val="single"/>
        </w:rPr>
        <w:t>Additional Resources for the Writing Block:</w:t>
      </w:r>
    </w:p>
    <w:p w:rsidR="00F56DFB" w:rsidRPr="00F56DFB" w:rsidRDefault="00F56DFB" w:rsidP="00F56DFB">
      <w:pPr>
        <w:pStyle w:val="NoSpacing"/>
        <w:numPr>
          <w:ilvl w:val="0"/>
          <w:numId w:val="5"/>
        </w:numPr>
        <w:rPr>
          <w:rFonts w:cstheme="minorHAnsi"/>
          <w:sz w:val="24"/>
          <w:szCs w:val="24"/>
        </w:rPr>
      </w:pPr>
      <w:r>
        <w:rPr>
          <w:rFonts w:cstheme="minorHAnsi"/>
          <w:sz w:val="24"/>
          <w:szCs w:val="24"/>
        </w:rPr>
        <w:t>Mentor Text available from room 208</w:t>
      </w:r>
    </w:p>
    <w:sectPr w:rsidR="00F56DFB" w:rsidRPr="00F56DFB" w:rsidSect="007522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4EE4"/>
    <w:multiLevelType w:val="hybridMultilevel"/>
    <w:tmpl w:val="6D1EA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FE5B24"/>
    <w:multiLevelType w:val="hybridMultilevel"/>
    <w:tmpl w:val="0F941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097C59"/>
    <w:multiLevelType w:val="hybridMultilevel"/>
    <w:tmpl w:val="74382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5507AF"/>
    <w:multiLevelType w:val="hybridMultilevel"/>
    <w:tmpl w:val="BE28981C"/>
    <w:lvl w:ilvl="0" w:tplc="5B46F3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5353F2"/>
    <w:multiLevelType w:val="hybridMultilevel"/>
    <w:tmpl w:val="5908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75E7"/>
    <w:rsid w:val="00752281"/>
    <w:rsid w:val="00B975E7"/>
    <w:rsid w:val="00F56D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281"/>
  </w:style>
  <w:style w:type="paragraph" w:styleId="Heading3">
    <w:name w:val="heading 3"/>
    <w:basedOn w:val="Normal"/>
    <w:link w:val="Heading3Char"/>
    <w:uiPriority w:val="9"/>
    <w:qFormat/>
    <w:rsid w:val="00B975E7"/>
    <w:pPr>
      <w:spacing w:before="100" w:beforeAutospacing="1" w:after="100" w:afterAutospacing="1" w:line="240" w:lineRule="auto"/>
      <w:outlineLvl w:val="2"/>
    </w:pPr>
    <w:rPr>
      <w:rFonts w:ascii="Times New Roman" w:eastAsia="Times New Roman" w:hAnsi="Times New Roman" w:cs="Times New Roman"/>
      <w:b/>
      <w:bCs/>
      <w:sz w:val="32"/>
      <w:szCs w:val="32"/>
    </w:rPr>
  </w:style>
  <w:style w:type="paragraph" w:styleId="Heading4">
    <w:name w:val="heading 4"/>
    <w:basedOn w:val="Normal"/>
    <w:link w:val="Heading4Char"/>
    <w:uiPriority w:val="9"/>
    <w:qFormat/>
    <w:rsid w:val="00B975E7"/>
    <w:pPr>
      <w:spacing w:before="100" w:beforeAutospacing="1" w:after="100" w:afterAutospacing="1" w:line="240" w:lineRule="auto"/>
      <w:outlineLvl w:val="3"/>
    </w:pPr>
    <w:rPr>
      <w:rFonts w:ascii="Times New Roman" w:eastAsia="Times New Roman" w:hAnsi="Times New Roman" w:cs="Times New Roman"/>
      <w:b/>
      <w:bC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975E7"/>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9"/>
    <w:rsid w:val="00B975E7"/>
    <w:rPr>
      <w:rFonts w:ascii="Times New Roman" w:eastAsia="Times New Roman" w:hAnsi="Times New Roman" w:cs="Times New Roman"/>
      <w:b/>
      <w:bCs/>
      <w:sz w:val="29"/>
      <w:szCs w:val="29"/>
    </w:rPr>
  </w:style>
  <w:style w:type="paragraph" w:styleId="NormalWeb">
    <w:name w:val="Normal (Web)"/>
    <w:basedOn w:val="Normal"/>
    <w:uiPriority w:val="99"/>
    <w:semiHidden/>
    <w:unhideWhenUsed/>
    <w:rsid w:val="00B975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975E7"/>
    <w:rPr>
      <w:color w:val="0000FF"/>
      <w:u w:val="single"/>
    </w:rPr>
  </w:style>
  <w:style w:type="paragraph" w:styleId="BalloonText">
    <w:name w:val="Balloon Text"/>
    <w:basedOn w:val="Normal"/>
    <w:link w:val="BalloonTextChar"/>
    <w:uiPriority w:val="99"/>
    <w:semiHidden/>
    <w:unhideWhenUsed/>
    <w:rsid w:val="00B975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5E7"/>
    <w:rPr>
      <w:rFonts w:ascii="Tahoma" w:hAnsi="Tahoma" w:cs="Tahoma"/>
      <w:sz w:val="16"/>
      <w:szCs w:val="16"/>
    </w:rPr>
  </w:style>
  <w:style w:type="paragraph" w:styleId="NoSpacing">
    <w:name w:val="No Spacing"/>
    <w:uiPriority w:val="1"/>
    <w:qFormat/>
    <w:rsid w:val="00B975E7"/>
    <w:pPr>
      <w:spacing w:after="0" w:line="240" w:lineRule="auto"/>
    </w:pPr>
  </w:style>
  <w:style w:type="character" w:styleId="Strong">
    <w:name w:val="Strong"/>
    <w:basedOn w:val="DefaultParagraphFont"/>
    <w:uiPriority w:val="22"/>
    <w:qFormat/>
    <w:rsid w:val="00B975E7"/>
    <w:rPr>
      <w:b/>
      <w:bCs/>
    </w:rPr>
  </w:style>
  <w:style w:type="character" w:styleId="Emphasis">
    <w:name w:val="Emphasis"/>
    <w:basedOn w:val="DefaultParagraphFont"/>
    <w:uiPriority w:val="20"/>
    <w:qFormat/>
    <w:rsid w:val="00B975E7"/>
    <w:rPr>
      <w:i/>
      <w:iCs/>
    </w:rPr>
  </w:style>
  <w:style w:type="paragraph" w:styleId="ListParagraph">
    <w:name w:val="List Paragraph"/>
    <w:basedOn w:val="Normal"/>
    <w:uiPriority w:val="34"/>
    <w:qFormat/>
    <w:rsid w:val="00B975E7"/>
    <w:pPr>
      <w:ind w:left="720"/>
      <w:contextualSpacing/>
    </w:pPr>
  </w:style>
</w:styles>
</file>

<file path=word/webSettings.xml><?xml version="1.0" encoding="utf-8"?>
<w:webSettings xmlns:r="http://schemas.openxmlformats.org/officeDocument/2006/relationships" xmlns:w="http://schemas.openxmlformats.org/wordprocessingml/2006/main">
  <w:divs>
    <w:div w:id="1259291026">
      <w:bodyDiv w:val="1"/>
      <w:marLeft w:val="0"/>
      <w:marRight w:val="0"/>
      <w:marTop w:val="0"/>
      <w:marBottom w:val="0"/>
      <w:divBdr>
        <w:top w:val="none" w:sz="0" w:space="0" w:color="auto"/>
        <w:left w:val="none" w:sz="0" w:space="0" w:color="auto"/>
        <w:bottom w:val="none" w:sz="0" w:space="0" w:color="auto"/>
        <w:right w:val="none" w:sz="0" w:space="0" w:color="auto"/>
      </w:divBdr>
      <w:divsChild>
        <w:div w:id="224950576">
          <w:marLeft w:val="0"/>
          <w:marRight w:val="0"/>
          <w:marTop w:val="0"/>
          <w:marBottom w:val="0"/>
          <w:divBdr>
            <w:top w:val="none" w:sz="0" w:space="0" w:color="auto"/>
            <w:left w:val="none" w:sz="0" w:space="0" w:color="auto"/>
            <w:bottom w:val="none" w:sz="0" w:space="0" w:color="auto"/>
            <w:right w:val="none" w:sz="0" w:space="0" w:color="auto"/>
          </w:divBdr>
          <w:divsChild>
            <w:div w:id="655376269">
              <w:marLeft w:val="0"/>
              <w:marRight w:val="0"/>
              <w:marTop w:val="0"/>
              <w:marBottom w:val="0"/>
              <w:divBdr>
                <w:top w:val="none" w:sz="0" w:space="0" w:color="auto"/>
                <w:left w:val="none" w:sz="0" w:space="0" w:color="auto"/>
                <w:bottom w:val="none" w:sz="0" w:space="0" w:color="auto"/>
                <w:right w:val="none" w:sz="0" w:space="0" w:color="auto"/>
              </w:divBdr>
              <w:divsChild>
                <w:div w:id="888877644">
                  <w:marLeft w:val="0"/>
                  <w:marRight w:val="0"/>
                  <w:marTop w:val="0"/>
                  <w:marBottom w:val="0"/>
                  <w:divBdr>
                    <w:top w:val="none" w:sz="0" w:space="0" w:color="auto"/>
                    <w:left w:val="none" w:sz="0" w:space="0" w:color="auto"/>
                    <w:bottom w:val="none" w:sz="0" w:space="0" w:color="auto"/>
                    <w:right w:val="none" w:sz="0" w:space="0" w:color="auto"/>
                  </w:divBdr>
                  <w:divsChild>
                    <w:div w:id="882522858">
                      <w:marLeft w:val="0"/>
                      <w:marRight w:val="0"/>
                      <w:marTop w:val="0"/>
                      <w:marBottom w:val="0"/>
                      <w:divBdr>
                        <w:top w:val="none" w:sz="0" w:space="0" w:color="auto"/>
                        <w:left w:val="none" w:sz="0" w:space="0" w:color="auto"/>
                        <w:bottom w:val="none" w:sz="0" w:space="0" w:color="auto"/>
                        <w:right w:val="none" w:sz="0" w:space="0" w:color="auto"/>
                      </w:divBdr>
                      <w:divsChild>
                        <w:div w:id="490488221">
                          <w:marLeft w:val="0"/>
                          <w:marRight w:val="0"/>
                          <w:marTop w:val="0"/>
                          <w:marBottom w:val="0"/>
                          <w:divBdr>
                            <w:top w:val="none" w:sz="0" w:space="0" w:color="auto"/>
                            <w:left w:val="none" w:sz="0" w:space="0" w:color="auto"/>
                            <w:bottom w:val="none" w:sz="0" w:space="0" w:color="auto"/>
                            <w:right w:val="none" w:sz="0" w:space="0" w:color="auto"/>
                          </w:divBdr>
                          <w:divsChild>
                            <w:div w:id="1159152846">
                              <w:marLeft w:val="0"/>
                              <w:marRight w:val="0"/>
                              <w:marTop w:val="0"/>
                              <w:marBottom w:val="0"/>
                              <w:divBdr>
                                <w:top w:val="none" w:sz="0" w:space="0" w:color="auto"/>
                                <w:left w:val="none" w:sz="0" w:space="0" w:color="auto"/>
                                <w:bottom w:val="none" w:sz="0" w:space="0" w:color="auto"/>
                                <w:right w:val="none" w:sz="0" w:space="0" w:color="auto"/>
                              </w:divBdr>
                              <w:divsChild>
                                <w:div w:id="143852564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567530">
      <w:bodyDiv w:val="1"/>
      <w:marLeft w:val="0"/>
      <w:marRight w:val="0"/>
      <w:marTop w:val="0"/>
      <w:marBottom w:val="0"/>
      <w:divBdr>
        <w:top w:val="none" w:sz="0" w:space="0" w:color="auto"/>
        <w:left w:val="none" w:sz="0" w:space="0" w:color="auto"/>
        <w:bottom w:val="none" w:sz="0" w:space="0" w:color="auto"/>
        <w:right w:val="none" w:sz="0" w:space="0" w:color="auto"/>
      </w:divBdr>
      <w:divsChild>
        <w:div w:id="1684474634">
          <w:marLeft w:val="0"/>
          <w:marRight w:val="0"/>
          <w:marTop w:val="0"/>
          <w:marBottom w:val="0"/>
          <w:divBdr>
            <w:top w:val="none" w:sz="0" w:space="0" w:color="auto"/>
            <w:left w:val="none" w:sz="0" w:space="0" w:color="auto"/>
            <w:bottom w:val="none" w:sz="0" w:space="0" w:color="auto"/>
            <w:right w:val="none" w:sz="0" w:space="0" w:color="auto"/>
          </w:divBdr>
          <w:divsChild>
            <w:div w:id="344790133">
              <w:marLeft w:val="0"/>
              <w:marRight w:val="0"/>
              <w:marTop w:val="0"/>
              <w:marBottom w:val="0"/>
              <w:divBdr>
                <w:top w:val="none" w:sz="0" w:space="0" w:color="auto"/>
                <w:left w:val="none" w:sz="0" w:space="0" w:color="auto"/>
                <w:bottom w:val="none" w:sz="0" w:space="0" w:color="auto"/>
                <w:right w:val="none" w:sz="0" w:space="0" w:color="auto"/>
              </w:divBdr>
              <w:divsChild>
                <w:div w:id="400098301">
                  <w:marLeft w:val="0"/>
                  <w:marRight w:val="0"/>
                  <w:marTop w:val="0"/>
                  <w:marBottom w:val="0"/>
                  <w:divBdr>
                    <w:top w:val="none" w:sz="0" w:space="0" w:color="auto"/>
                    <w:left w:val="none" w:sz="0" w:space="0" w:color="auto"/>
                    <w:bottom w:val="none" w:sz="0" w:space="0" w:color="auto"/>
                    <w:right w:val="none" w:sz="0" w:space="0" w:color="auto"/>
                  </w:divBdr>
                  <w:divsChild>
                    <w:div w:id="554977039">
                      <w:marLeft w:val="0"/>
                      <w:marRight w:val="0"/>
                      <w:marTop w:val="0"/>
                      <w:marBottom w:val="0"/>
                      <w:divBdr>
                        <w:top w:val="none" w:sz="0" w:space="0" w:color="auto"/>
                        <w:left w:val="none" w:sz="0" w:space="0" w:color="auto"/>
                        <w:bottom w:val="none" w:sz="0" w:space="0" w:color="auto"/>
                        <w:right w:val="none" w:sz="0" w:space="0" w:color="auto"/>
                      </w:divBdr>
                      <w:divsChild>
                        <w:div w:id="316999404">
                          <w:marLeft w:val="0"/>
                          <w:marRight w:val="0"/>
                          <w:marTop w:val="0"/>
                          <w:marBottom w:val="0"/>
                          <w:divBdr>
                            <w:top w:val="none" w:sz="0" w:space="0" w:color="auto"/>
                            <w:left w:val="none" w:sz="0" w:space="0" w:color="auto"/>
                            <w:bottom w:val="none" w:sz="0" w:space="0" w:color="auto"/>
                            <w:right w:val="none" w:sz="0" w:space="0" w:color="auto"/>
                          </w:divBdr>
                          <w:divsChild>
                            <w:div w:id="443690678">
                              <w:marLeft w:val="0"/>
                              <w:marRight w:val="0"/>
                              <w:marTop w:val="0"/>
                              <w:marBottom w:val="0"/>
                              <w:divBdr>
                                <w:top w:val="none" w:sz="0" w:space="0" w:color="auto"/>
                                <w:left w:val="none" w:sz="0" w:space="0" w:color="auto"/>
                                <w:bottom w:val="none" w:sz="0" w:space="0" w:color="auto"/>
                                <w:right w:val="none" w:sz="0" w:space="0" w:color="auto"/>
                              </w:divBdr>
                              <w:divsChild>
                                <w:div w:id="8711671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devstu.org/node/130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Lola</cp:lastModifiedBy>
  <cp:revision>2</cp:revision>
  <dcterms:created xsi:type="dcterms:W3CDTF">2010-09-19T14:11:00Z</dcterms:created>
  <dcterms:modified xsi:type="dcterms:W3CDTF">2010-09-19T14:30:00Z</dcterms:modified>
</cp:coreProperties>
</file>